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E1" w:rsidRPr="004B15E1" w:rsidRDefault="004B15E1" w:rsidP="004B15E1">
      <w:pPr>
        <w:spacing w:after="0" w:line="240" w:lineRule="auto"/>
        <w:jc w:val="center"/>
        <w:rPr>
          <w:rFonts w:eastAsia="Times New Roman" w:cs="Times New Roman"/>
          <w:b/>
          <w:bCs/>
          <w:szCs w:val="24"/>
          <w:lang w:eastAsia="es-CO"/>
        </w:rPr>
      </w:pPr>
    </w:p>
    <w:p w:rsidR="004B15E1" w:rsidRPr="004B15E1" w:rsidRDefault="004B15E1" w:rsidP="004B15E1">
      <w:pPr>
        <w:spacing w:after="0" w:line="240" w:lineRule="auto"/>
        <w:jc w:val="center"/>
        <w:rPr>
          <w:rFonts w:eastAsia="Times New Roman" w:cs="Times New Roman"/>
          <w:b/>
          <w:bCs/>
          <w:szCs w:val="24"/>
          <w:lang w:eastAsia="es-CO"/>
        </w:rPr>
      </w:pPr>
    </w:p>
    <w:p w:rsidR="004B15E1" w:rsidRPr="004B15E1" w:rsidRDefault="004B15E1" w:rsidP="004B15E1">
      <w:pPr>
        <w:spacing w:after="0" w:line="240" w:lineRule="auto"/>
        <w:jc w:val="center"/>
        <w:rPr>
          <w:rFonts w:eastAsia="Times New Roman" w:cs="Times New Roman"/>
          <w:szCs w:val="24"/>
          <w:lang w:eastAsia="es-CO"/>
        </w:rPr>
      </w:pPr>
      <w:r w:rsidRPr="004B15E1">
        <w:rPr>
          <w:rFonts w:eastAsia="Times New Roman" w:cs="Times New Roman"/>
          <w:b/>
          <w:bCs/>
          <w:szCs w:val="24"/>
          <w:lang w:eastAsia="es-CO"/>
        </w:rPr>
        <w:t>OFICIO Nº 067071</w:t>
      </w:r>
    </w:p>
    <w:p w:rsidR="004B15E1" w:rsidRPr="004B15E1" w:rsidRDefault="004B15E1" w:rsidP="004B15E1">
      <w:pPr>
        <w:spacing w:after="0" w:line="240" w:lineRule="auto"/>
        <w:jc w:val="center"/>
        <w:rPr>
          <w:rFonts w:eastAsia="Times New Roman" w:cs="Times New Roman"/>
          <w:szCs w:val="24"/>
          <w:lang w:eastAsia="es-CO"/>
        </w:rPr>
      </w:pPr>
      <w:r w:rsidRPr="004B15E1">
        <w:rPr>
          <w:rFonts w:eastAsia="Times New Roman" w:cs="Times New Roman"/>
          <w:b/>
          <w:bCs/>
          <w:szCs w:val="24"/>
          <w:lang w:eastAsia="es-CO"/>
        </w:rPr>
        <w:t>19-12-2014</w:t>
      </w:r>
    </w:p>
    <w:p w:rsidR="004B15E1" w:rsidRPr="004B15E1" w:rsidRDefault="004B15E1" w:rsidP="004B15E1">
      <w:pPr>
        <w:spacing w:after="0" w:line="240" w:lineRule="auto"/>
        <w:jc w:val="center"/>
        <w:rPr>
          <w:rFonts w:eastAsia="Times New Roman" w:cs="Times New Roman"/>
          <w:szCs w:val="24"/>
          <w:lang w:eastAsia="es-CO"/>
        </w:rPr>
      </w:pPr>
      <w:r w:rsidRPr="004B15E1">
        <w:rPr>
          <w:rFonts w:eastAsia="Times New Roman" w:cs="Times New Roman"/>
          <w:b/>
          <w:bCs/>
          <w:szCs w:val="24"/>
          <w:lang w:eastAsia="es-CO"/>
        </w:rPr>
        <w:t>DIAN</w:t>
      </w:r>
    </w:p>
    <w:p w:rsidR="004B15E1" w:rsidRPr="004B15E1" w:rsidRDefault="004B15E1" w:rsidP="004B15E1">
      <w:pPr>
        <w:spacing w:after="0" w:line="240" w:lineRule="auto"/>
        <w:jc w:val="center"/>
        <w:rPr>
          <w:rFonts w:eastAsia="Times New Roman" w:cs="Times New Roman"/>
          <w:szCs w:val="24"/>
          <w:lang w:eastAsia="es-CO"/>
        </w:rPr>
      </w:pP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Subdirección de Gestión Normativa y Doctrina</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Bogotá, D. C.</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100208221- 001461</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proofErr w:type="spellStart"/>
      <w:r w:rsidRPr="004B15E1">
        <w:rPr>
          <w:rFonts w:eastAsia="Times New Roman" w:cs="Times New Roman"/>
          <w:b/>
          <w:bCs/>
          <w:szCs w:val="24"/>
          <w:lang w:eastAsia="es-CO"/>
        </w:rPr>
        <w:t>Ref</w:t>
      </w:r>
      <w:proofErr w:type="spellEnd"/>
      <w:r w:rsidRPr="004B15E1">
        <w:rPr>
          <w:rFonts w:eastAsia="Times New Roman" w:cs="Times New Roman"/>
          <w:b/>
          <w:bCs/>
          <w:szCs w:val="24"/>
          <w:lang w:eastAsia="es-CO"/>
        </w:rPr>
        <w:t>:</w:t>
      </w:r>
      <w:r w:rsidRPr="004B15E1">
        <w:rPr>
          <w:rFonts w:eastAsia="Times New Roman" w:cs="Times New Roman"/>
          <w:szCs w:val="24"/>
          <w:lang w:eastAsia="es-CO"/>
        </w:rPr>
        <w:t> Radicado 100026919 del 20/10/2014</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Tema </w:t>
      </w:r>
      <w:r w:rsidRPr="004B15E1">
        <w:rPr>
          <w:rFonts w:eastAsia="Times New Roman" w:cs="Times New Roman"/>
          <w:szCs w:val="24"/>
          <w:lang w:eastAsia="es-CO"/>
        </w:rPr>
        <w:t>Impuesto sobre la Renta y Complementarios; Retención en la fuente</w:t>
      </w:r>
    </w:p>
    <w:p w:rsidR="004B15E1" w:rsidRDefault="004B15E1" w:rsidP="004B15E1">
      <w:pPr>
        <w:spacing w:after="0" w:line="240" w:lineRule="auto"/>
        <w:jc w:val="both"/>
        <w:rPr>
          <w:rFonts w:eastAsia="Times New Roman" w:cs="Times New Roman"/>
          <w:b/>
          <w:bCs/>
          <w:szCs w:val="24"/>
          <w:lang w:eastAsia="es-CO"/>
        </w:rPr>
      </w:pP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Descriptores </w:t>
      </w:r>
      <w:r w:rsidRPr="004B15E1">
        <w:rPr>
          <w:rFonts w:eastAsia="Times New Roman" w:cs="Times New Roman"/>
          <w:szCs w:val="24"/>
          <w:lang w:eastAsia="es-CO"/>
        </w:rPr>
        <w:t>CLASIFICACIÓN DE LAS PERSONAS NATURALES; RETENCIÓN EN LA FUENTE – EMPLEADOS; RETENCIÓN EN LA FUENTE POR RENTAS DE TRABAJO; RETENCIÓN EN LA FUENTE POR RENTAS DE TRABAJO – EMPLEADOS; Retención en la Fuente para Trabajador por Cuenta Propia</w:t>
      </w:r>
    </w:p>
    <w:p w:rsidR="004B15E1" w:rsidRDefault="004B15E1" w:rsidP="004B15E1">
      <w:pPr>
        <w:spacing w:after="0" w:line="240" w:lineRule="auto"/>
        <w:jc w:val="both"/>
        <w:rPr>
          <w:rFonts w:eastAsia="Times New Roman" w:cs="Times New Roman"/>
          <w:b/>
          <w:bCs/>
          <w:szCs w:val="24"/>
          <w:lang w:eastAsia="es-CO"/>
        </w:rPr>
      </w:pP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Fuentes formales </w:t>
      </w:r>
      <w:r w:rsidRPr="004B15E1">
        <w:rPr>
          <w:rFonts w:eastAsia="Times New Roman" w:cs="Times New Roman"/>
          <w:szCs w:val="24"/>
          <w:lang w:eastAsia="es-CO"/>
        </w:rPr>
        <w:t>Estatuto Tributario artículos </w:t>
      </w:r>
      <w:hyperlink r:id="rId4" w:tooltip="Estatuto Tributario CETA" w:history="1">
        <w:r w:rsidRPr="004B15E1">
          <w:rPr>
            <w:rFonts w:eastAsia="Times New Roman" w:cs="Times New Roman"/>
            <w:szCs w:val="24"/>
            <w:lang w:eastAsia="es-CO"/>
          </w:rPr>
          <w:t>329</w:t>
        </w:r>
      </w:hyperlink>
      <w:r w:rsidRPr="004B15E1">
        <w:rPr>
          <w:rFonts w:eastAsia="Times New Roman" w:cs="Times New Roman"/>
          <w:szCs w:val="24"/>
          <w:lang w:eastAsia="es-CO"/>
        </w:rPr>
        <w:t>, </w:t>
      </w:r>
      <w:hyperlink r:id="rId5" w:tooltip="Estatuto Tributario CETA" w:history="1">
        <w:r w:rsidRPr="004B15E1">
          <w:rPr>
            <w:rFonts w:eastAsia="Times New Roman" w:cs="Times New Roman"/>
            <w:szCs w:val="24"/>
            <w:lang w:eastAsia="es-CO"/>
          </w:rPr>
          <w:t>339</w:t>
        </w:r>
      </w:hyperlink>
      <w:r w:rsidRPr="004B15E1">
        <w:rPr>
          <w:rFonts w:eastAsia="Times New Roman" w:cs="Times New Roman"/>
          <w:szCs w:val="24"/>
          <w:lang w:eastAsia="es-CO"/>
        </w:rPr>
        <w:t>, </w:t>
      </w:r>
      <w:hyperlink r:id="rId6" w:tooltip="Estatuto Tributario CETA" w:history="1">
        <w:r w:rsidRPr="004B15E1">
          <w:rPr>
            <w:rFonts w:eastAsia="Times New Roman" w:cs="Times New Roman"/>
            <w:szCs w:val="24"/>
            <w:lang w:eastAsia="es-CO"/>
          </w:rPr>
          <w:t>340</w:t>
        </w:r>
      </w:hyperlink>
      <w:r w:rsidRPr="004B15E1">
        <w:rPr>
          <w:rFonts w:eastAsia="Times New Roman" w:cs="Times New Roman"/>
          <w:szCs w:val="24"/>
          <w:lang w:eastAsia="es-CO"/>
        </w:rPr>
        <w:t>; Ley 1607 de 2012 artículo 10; Decreto 3032 de 2013 artículo 3º; Oficio 001113 del 13 de enero de 2014; Oficio 019738 del 21 de marzo de 2014; Oficio 017857 del 26 de marzo de 2013; Oficio 000885 del 31 de julio de 2014</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Mediante el radicado de la referencia se consulta sobre la tarifa de retención en la fuente aplicable a personas naturales que prestan el servicio de transporte de carretera y los requisitos para deducir en el impuesto de renta los gastos en que incurre.</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Al respecto, el Despacho hace las siguientes consideraciones:</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Las personas naturales, nacionales o extranjeras, residentes en el país y las sucesiones ilíquidas de causantes con residencia en el país en el momento de su muerte están sujetas al impuesto sobre la renta y complementarios concerniente a sus rentas y ganancias ocasionales, tanto de fuente nacional como de fuente extranjera y a su patrimonio poseído dentro y fuera del país.</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xml:space="preserve">En virtud de las modificaciones que trajo el artículo 10 de la ley 1607 de 2012, las personas naturales residentes en el país se clasifican en una de las siguientes categorías tributarias: empleado, trabajador por cuenta propia y otros contribuyentes. Esta clasificación se </w:t>
      </w:r>
      <w:r w:rsidRPr="004B15E1">
        <w:rPr>
          <w:rFonts w:eastAsia="Times New Roman" w:cs="Times New Roman"/>
          <w:szCs w:val="24"/>
          <w:lang w:eastAsia="es-CO"/>
        </w:rPr>
        <w:lastRenderedPageBreak/>
        <w:t>encuentra consagrada en el</w:t>
      </w:r>
      <w:r w:rsidR="00655662">
        <w:rPr>
          <w:rFonts w:eastAsia="Times New Roman" w:cs="Times New Roman"/>
          <w:szCs w:val="24"/>
          <w:lang w:eastAsia="es-CO"/>
        </w:rPr>
        <w:t xml:space="preserve"> </w:t>
      </w:r>
      <w:hyperlink r:id="rId7" w:tooltip="Estatuto Tributario CETA" w:history="1">
        <w:r w:rsidRPr="004B15E1">
          <w:rPr>
            <w:rFonts w:eastAsia="Times New Roman" w:cs="Times New Roman"/>
            <w:szCs w:val="24"/>
            <w:lang w:eastAsia="es-CO"/>
          </w:rPr>
          <w:t>artículo 329</w:t>
        </w:r>
      </w:hyperlink>
      <w:r w:rsidRPr="004B15E1">
        <w:rPr>
          <w:rFonts w:eastAsia="Times New Roman" w:cs="Times New Roman"/>
          <w:szCs w:val="24"/>
          <w:lang w:eastAsia="es-CO"/>
        </w:rPr>
        <w:t> del Estatuto Tributario y resulta indispensable a fin de establecer el sistema de determinación del impuesto de renta, así como el régimen de retención en la fuente aplicable.</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Sobre la clasificación para efectos tributarios de las personas naturales residentes en Colombia, para efectos del régimen del Impuesto sobre la Renta se profirió el oficio 000885 del 31 de julio de 2014, del cual remitimos copia para su conocimiento por constituir doctrina vigente sobre el tema.</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Respecto a la categoría tributaria de empleados, el mencionado oficio al interpretar el citado </w:t>
      </w:r>
      <w:hyperlink r:id="rId8" w:tooltip="Estatuto Tributario CETA" w:history="1">
        <w:r w:rsidRPr="004B15E1">
          <w:rPr>
            <w:rFonts w:eastAsia="Times New Roman" w:cs="Times New Roman"/>
            <w:szCs w:val="24"/>
            <w:lang w:eastAsia="es-CO"/>
          </w:rPr>
          <w:t>artículo 329</w:t>
        </w:r>
      </w:hyperlink>
      <w:r w:rsidRPr="004B15E1">
        <w:rPr>
          <w:rFonts w:eastAsia="Times New Roman" w:cs="Times New Roman"/>
          <w:szCs w:val="24"/>
          <w:lang w:eastAsia="es-CO"/>
        </w:rPr>
        <w:t> y su correspondiente reglamentación planteó dentro de los criterios para pertenecer a dicha categoría que:</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 </w:t>
      </w:r>
    </w:p>
    <w:p w:rsidR="004B15E1" w:rsidRDefault="004B15E1" w:rsidP="004B15E1">
      <w:pPr>
        <w:spacing w:after="0" w:line="240" w:lineRule="auto"/>
        <w:ind w:left="567" w:hanging="283"/>
        <w:jc w:val="both"/>
        <w:rPr>
          <w:rFonts w:eastAsia="Times New Roman" w:cs="Times New Roman"/>
          <w:szCs w:val="24"/>
          <w:lang w:eastAsia="es-CO"/>
        </w:rPr>
      </w:pPr>
      <w:r w:rsidRPr="004B15E1">
        <w:rPr>
          <w:rFonts w:eastAsia="Times New Roman" w:cs="Times New Roman"/>
          <w:szCs w:val="24"/>
          <w:lang w:eastAsia="es-CO"/>
        </w:rPr>
        <w:t>·      El 80% o más de sus ingresos brutos provienen de una </w:t>
      </w:r>
      <w:r w:rsidRPr="004B15E1">
        <w:rPr>
          <w:rFonts w:eastAsia="Times New Roman" w:cs="Times New Roman"/>
          <w:b/>
          <w:bCs/>
          <w:szCs w:val="24"/>
          <w:lang w:eastAsia="es-CO"/>
        </w:rPr>
        <w:t>profesión liberal</w:t>
      </w:r>
      <w:r w:rsidRPr="004B15E1">
        <w:rPr>
          <w:rFonts w:eastAsia="Times New Roman" w:cs="Times New Roman"/>
          <w:szCs w:val="24"/>
          <w:lang w:eastAsia="es-CO"/>
        </w:rPr>
        <w:t> ejercida mediante una relación laboral, legal, contractual </w:t>
      </w:r>
      <w:r w:rsidRPr="004B15E1">
        <w:rPr>
          <w:rFonts w:eastAsia="Times New Roman" w:cs="Times New Roman"/>
          <w:szCs w:val="24"/>
          <w:u w:val="single"/>
          <w:lang w:eastAsia="es-CO"/>
        </w:rPr>
        <w:t>o de cualquier naturaleza independientemente de su denominación</w:t>
      </w:r>
      <w:r w:rsidRPr="004B15E1">
        <w:rPr>
          <w:rFonts w:eastAsia="Times New Roman" w:cs="Times New Roman"/>
          <w:szCs w:val="24"/>
          <w:lang w:eastAsia="es-CO"/>
        </w:rPr>
        <w:t>.</w:t>
      </w:r>
    </w:p>
    <w:p w:rsidR="00655662" w:rsidRPr="004B15E1" w:rsidRDefault="00655662" w:rsidP="004B15E1">
      <w:pPr>
        <w:spacing w:after="0" w:line="240" w:lineRule="auto"/>
        <w:ind w:left="567" w:hanging="283"/>
        <w:jc w:val="both"/>
        <w:rPr>
          <w:rFonts w:eastAsia="Times New Roman" w:cs="Times New Roman"/>
          <w:szCs w:val="24"/>
          <w:lang w:eastAsia="es-CO"/>
        </w:rPr>
      </w:pPr>
    </w:p>
    <w:p w:rsidR="004B15E1" w:rsidRDefault="004B15E1" w:rsidP="004B15E1">
      <w:pPr>
        <w:spacing w:after="0" w:line="240" w:lineRule="auto"/>
        <w:ind w:left="567" w:hanging="283"/>
        <w:jc w:val="both"/>
        <w:rPr>
          <w:rFonts w:eastAsia="Times New Roman" w:cs="Times New Roman"/>
          <w:szCs w:val="24"/>
          <w:lang w:eastAsia="es-CO"/>
        </w:rPr>
      </w:pPr>
      <w:r w:rsidRPr="004B15E1">
        <w:rPr>
          <w:rFonts w:eastAsia="Times New Roman" w:cs="Times New Roman"/>
          <w:szCs w:val="24"/>
          <w:lang w:eastAsia="es-CO"/>
        </w:rPr>
        <w:t>·      El 80% de sus ingresos brutos provienen de la </w:t>
      </w:r>
      <w:r w:rsidRPr="004B15E1">
        <w:rPr>
          <w:rFonts w:eastAsia="Times New Roman" w:cs="Times New Roman"/>
          <w:b/>
          <w:bCs/>
          <w:szCs w:val="24"/>
          <w:u w:val="single"/>
          <w:lang w:eastAsia="es-CO"/>
        </w:rPr>
        <w:t>prestación de un servicio personal</w:t>
      </w:r>
      <w:r w:rsidRPr="004B15E1">
        <w:rPr>
          <w:rFonts w:eastAsia="Times New Roman" w:cs="Times New Roman"/>
          <w:szCs w:val="24"/>
          <w:lang w:eastAsia="es-CO"/>
        </w:rPr>
        <w:t> ejecutado en razón de una relación laboral, legal, y reglamentaria </w:t>
      </w:r>
      <w:r w:rsidRPr="004B15E1">
        <w:rPr>
          <w:rFonts w:eastAsia="Times New Roman" w:cs="Times New Roman"/>
          <w:szCs w:val="24"/>
          <w:u w:val="single"/>
          <w:lang w:eastAsia="es-CO"/>
        </w:rPr>
        <w:t>o de cualquier naturaleza independientemente de su denominación</w:t>
      </w:r>
      <w:r w:rsidRPr="004B15E1">
        <w:rPr>
          <w:rFonts w:eastAsia="Times New Roman" w:cs="Times New Roman"/>
          <w:szCs w:val="24"/>
          <w:lang w:eastAsia="es-CO"/>
        </w:rPr>
        <w:t>.</w:t>
      </w:r>
    </w:p>
    <w:p w:rsidR="00655662" w:rsidRPr="004B15E1" w:rsidRDefault="00655662" w:rsidP="004B15E1">
      <w:pPr>
        <w:spacing w:after="0" w:line="240" w:lineRule="auto"/>
        <w:ind w:left="567" w:hanging="283"/>
        <w:jc w:val="both"/>
        <w:rPr>
          <w:rFonts w:eastAsia="Times New Roman" w:cs="Times New Roman"/>
          <w:szCs w:val="24"/>
          <w:lang w:eastAsia="es-CO"/>
        </w:rPr>
      </w:pPr>
    </w:p>
    <w:p w:rsidR="004B15E1" w:rsidRPr="004B15E1" w:rsidRDefault="004B15E1" w:rsidP="004B15E1">
      <w:pPr>
        <w:spacing w:after="0" w:line="240" w:lineRule="auto"/>
        <w:ind w:left="567" w:hanging="283"/>
        <w:jc w:val="both"/>
        <w:rPr>
          <w:rFonts w:eastAsia="Times New Roman" w:cs="Times New Roman"/>
          <w:szCs w:val="24"/>
          <w:lang w:eastAsia="es-CO"/>
        </w:rPr>
      </w:pPr>
      <w:r w:rsidRPr="004B15E1">
        <w:rPr>
          <w:rFonts w:eastAsia="Times New Roman" w:cs="Times New Roman"/>
          <w:szCs w:val="24"/>
          <w:lang w:eastAsia="es-CO"/>
        </w:rPr>
        <w:t>·      El 80% o más de sus ingresos brutos provienen de la prestación de un </w:t>
      </w:r>
      <w:r w:rsidRPr="004B15E1">
        <w:rPr>
          <w:rFonts w:eastAsia="Times New Roman" w:cs="Times New Roman"/>
          <w:b/>
          <w:bCs/>
          <w:szCs w:val="24"/>
          <w:lang w:eastAsia="es-CO"/>
        </w:rPr>
        <w:t>servicio técnico</w:t>
      </w:r>
      <w:r w:rsidRPr="004B15E1">
        <w:rPr>
          <w:rFonts w:eastAsia="Times New Roman" w:cs="Times New Roman"/>
          <w:szCs w:val="24"/>
          <w:lang w:eastAsia="es-CO"/>
        </w:rPr>
        <w:t> que no requieran la utilización de materiales o insumos especializados o de maquinaria o equipo especializado, y la realiza mediante una relación laboral, legal, contractual o de cualquier naturaleza independientemente de su denominación.</w:t>
      </w:r>
    </w:p>
    <w:p w:rsidR="004B15E1" w:rsidRPr="004B15E1" w:rsidRDefault="004B15E1" w:rsidP="004B15E1">
      <w:pPr>
        <w:spacing w:after="0" w:line="240" w:lineRule="auto"/>
        <w:ind w:left="567"/>
        <w:jc w:val="both"/>
        <w:rPr>
          <w:rFonts w:eastAsia="Times New Roman" w:cs="Times New Roman"/>
          <w:szCs w:val="24"/>
          <w:lang w:eastAsia="es-CO"/>
        </w:rPr>
      </w:pPr>
      <w:r w:rsidRPr="004B15E1">
        <w:rPr>
          <w:rFonts w:eastAsia="Times New Roman" w:cs="Times New Roman"/>
          <w:szCs w:val="24"/>
          <w:lang w:eastAsia="es-CO"/>
        </w:rPr>
        <w:t>(...)</w:t>
      </w:r>
    </w:p>
    <w:p w:rsidR="004B15E1" w:rsidRPr="004B15E1" w:rsidRDefault="004B15E1" w:rsidP="004B15E1">
      <w:pPr>
        <w:spacing w:after="0" w:line="240" w:lineRule="auto"/>
        <w:ind w:left="567"/>
        <w:jc w:val="both"/>
        <w:rPr>
          <w:rFonts w:eastAsia="Times New Roman" w:cs="Times New Roman"/>
          <w:szCs w:val="24"/>
          <w:lang w:eastAsia="es-CO"/>
        </w:rPr>
      </w:pPr>
      <w:r w:rsidRPr="004B15E1">
        <w:rPr>
          <w:rFonts w:eastAsia="Times New Roman" w:cs="Times New Roman"/>
          <w:szCs w:val="24"/>
          <w:lang w:eastAsia="es-CO"/>
        </w:rPr>
        <w:t>(Negrilla y subrayado fuera del texto)</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En cuanto a la categoría tributaria de trabajador por cuenta propia, el mencionado oficio al interpretar el mencionado </w:t>
      </w:r>
      <w:hyperlink r:id="rId9" w:tooltip="Estatuto Tributario CETA" w:history="1">
        <w:r w:rsidRPr="004B15E1">
          <w:rPr>
            <w:rFonts w:eastAsia="Times New Roman" w:cs="Times New Roman"/>
            <w:szCs w:val="24"/>
            <w:lang w:eastAsia="es-CO"/>
          </w:rPr>
          <w:t>artículo 329</w:t>
        </w:r>
      </w:hyperlink>
      <w:r w:rsidRPr="004B15E1">
        <w:rPr>
          <w:rFonts w:eastAsia="Times New Roman" w:cs="Times New Roman"/>
          <w:szCs w:val="24"/>
          <w:lang w:eastAsia="es-CO"/>
        </w:rPr>
        <w:t> del Estatuto Tributario y su correspondiente reglamentación planteó como criterio para pertenecer a dicha categoría que el 80% o más de sus ingresos proviene de la realización de una sola de las actividades del </w:t>
      </w:r>
      <w:hyperlink r:id="rId10" w:tooltip="Estatuto Tributario CETA" w:history="1">
        <w:r w:rsidRPr="004B15E1">
          <w:rPr>
            <w:rFonts w:eastAsia="Times New Roman" w:cs="Times New Roman"/>
            <w:szCs w:val="24"/>
            <w:lang w:eastAsia="es-CO"/>
          </w:rPr>
          <w:t>artículo 340</w:t>
        </w:r>
      </w:hyperlink>
      <w:r w:rsidRPr="004B15E1">
        <w:rPr>
          <w:rFonts w:eastAsia="Times New Roman" w:cs="Times New Roman"/>
          <w:szCs w:val="24"/>
          <w:lang w:eastAsia="es-CO"/>
        </w:rPr>
        <w:t> ibídem y que su Renta Gravable Alternativa (RGA) calculada de acuerdo al </w:t>
      </w:r>
      <w:hyperlink r:id="rId11" w:tooltip="Estatuto Tributario CETA" w:history="1">
        <w:r w:rsidRPr="004B15E1">
          <w:rPr>
            <w:rFonts w:eastAsia="Times New Roman" w:cs="Times New Roman"/>
            <w:szCs w:val="24"/>
            <w:lang w:eastAsia="es-CO"/>
          </w:rPr>
          <w:t>artículo 339</w:t>
        </w:r>
      </w:hyperlink>
      <w:r w:rsidRPr="004B15E1">
        <w:rPr>
          <w:rFonts w:eastAsia="Times New Roman" w:cs="Times New Roman"/>
          <w:szCs w:val="24"/>
          <w:lang w:eastAsia="es-CO"/>
        </w:rPr>
        <w:t> sea inferior a 27.000 UVT.</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El </w:t>
      </w:r>
      <w:hyperlink r:id="rId12" w:tooltip="Estatuto Tributario CETA" w:history="1">
        <w:r w:rsidRPr="004B15E1">
          <w:rPr>
            <w:rFonts w:eastAsia="Times New Roman" w:cs="Times New Roman"/>
            <w:szCs w:val="24"/>
            <w:lang w:eastAsia="es-CO"/>
          </w:rPr>
          <w:t>artículo 340</w:t>
        </w:r>
      </w:hyperlink>
      <w:r w:rsidRPr="004B15E1">
        <w:rPr>
          <w:rFonts w:eastAsia="Times New Roman" w:cs="Times New Roman"/>
          <w:szCs w:val="24"/>
          <w:lang w:eastAsia="es-CO"/>
        </w:rPr>
        <w:t> del Estatuto Tributario relaciona las siguientes actividades para los trabajadores por cuenta propia:</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523"/>
        <w:gridCol w:w="1530"/>
        <w:gridCol w:w="2765"/>
      </w:tblGrid>
      <w:tr w:rsidR="004B15E1" w:rsidRPr="004B15E1" w:rsidTr="004B15E1">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Actividad</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Para RGA desde</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IMAS</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Actividades deportivas y otras actividades de esparcimiento</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4.057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1,77% * (RGA en UVT - 4.057</w:t>
            </w:r>
            <w:r w:rsidRPr="004B15E1">
              <w:rPr>
                <w:rFonts w:eastAsia="Times New Roman" w:cs="Times New Roman"/>
                <w:szCs w:val="24"/>
                <w:lang w:val="es-ES" w:eastAsia="es-CO"/>
              </w:rPr>
              <w:t>)</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Agropecuario, silvicultura y pesca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7.143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1,23% * (RGA en UVT - 7.143)</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lastRenderedPageBreak/>
              <w:t>Comercio al por mayor</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4.057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0,82% * (RGA en UVT - 4.057)</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Comercio al por menor</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5.409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0,82% * (RGA en UVT - 5.409)</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Comercio de vehículos automotores, accesorios y productos conexos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4.549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0,95% * (RGA en UVT - 4.549)</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Construcción</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2.090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2,17% * (RGA en UVT - 2.090)</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Electricidad, gas y vapor</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3.934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2,97% * (RGA en UVT - 3.934)</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Fabricación de productos minerales y otros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4.795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2,18% * (RGA en UVT - 4.795)</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Fabricación de sustancias químicas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4.549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2,77% * (RGA en UVT - 4.549)</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Industria de la madera, corcho y papel</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4.549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2,3% * (RGA en UVT - 4.549)</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Manufactura alimentos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4.549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1,13% * (RGA en UVT - 4.549)</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Manufactura textiles, prendas de vestir y cuero</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4.303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2,93% * (RGA en UVT - 4.303)</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Minería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4.057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4,96% * (RGA en UVT - 4.057)</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Servicio de </w:t>
            </w:r>
            <w:r w:rsidRPr="004B15E1">
              <w:rPr>
                <w:rFonts w:eastAsia="Times New Roman" w:cs="Times New Roman"/>
                <w:b/>
                <w:bCs/>
                <w:szCs w:val="24"/>
                <w:lang w:eastAsia="es-CO"/>
              </w:rPr>
              <w:t>transporte, </w:t>
            </w:r>
            <w:r w:rsidRPr="004B15E1">
              <w:rPr>
                <w:rFonts w:eastAsia="Times New Roman" w:cs="Times New Roman"/>
                <w:szCs w:val="24"/>
                <w:lang w:eastAsia="es-CO"/>
              </w:rPr>
              <w:t>almacenamiento y comunicaciones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4.795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2,79% * (RGA en UVT - 4.795)</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Servicios de hoteles, restaurantes y similares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3.934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1,55% * (RGA en UVT - 3.934)</w:t>
            </w:r>
          </w:p>
        </w:tc>
      </w:tr>
      <w:tr w:rsidR="004B15E1" w:rsidRPr="004B15E1" w:rsidTr="004B15E1">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Servicios financieros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1.844 UVT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6,4% * (RGA en UVT - 1.844)</w:t>
            </w:r>
          </w:p>
        </w:tc>
      </w:tr>
    </w:tbl>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Las anteriores precisiones resultan fundamentales en el caso materia de análisis, pues de los supuestos fácticos expuestos en la consulta no se puede concluir si se trata de una persona natural que pertenece a la categoría tributaria de empleado o trabajador por cuenta propia, razón por la cual el consultante deberá analizar cada caso en particular.</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Para efectos de determinar el régimen de retención en la fuente aplicable, es indispensable establecer la categoría tributaria a la cual pertenece la persona natural residente en el país beneficiaria del pago o abono en cuenta sobre el cual se practica la retención, aspecto sobre el cual este despacho se ha pronunciado en reiterada doctrina, del que destacamos los siguientes apartes del oficio 017857 del 26 de marzo de 2013:</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lastRenderedPageBreak/>
        <w:t>En materia de retención en la fuente por concepto de rentas de trabajo, con base en la interpretación armónica de los artículos </w:t>
      </w:r>
      <w:hyperlink r:id="rId13" w:tooltip="Estatuto Tributario CETA" w:history="1">
        <w:r w:rsidRPr="004B15E1">
          <w:rPr>
            <w:rFonts w:eastAsia="Times New Roman" w:cs="Times New Roman"/>
            <w:szCs w:val="24"/>
            <w:lang w:eastAsia="es-CO"/>
          </w:rPr>
          <w:t>383</w:t>
        </w:r>
      </w:hyperlink>
      <w:r w:rsidRPr="004B15E1">
        <w:rPr>
          <w:rFonts w:eastAsia="Times New Roman" w:cs="Times New Roman"/>
          <w:szCs w:val="24"/>
          <w:lang w:eastAsia="es-CO"/>
        </w:rPr>
        <w:t> y </w:t>
      </w:r>
      <w:hyperlink r:id="rId14" w:tooltip="Estatuto Tributario CETA" w:history="1">
        <w:r w:rsidRPr="004B15E1">
          <w:rPr>
            <w:rFonts w:eastAsia="Times New Roman" w:cs="Times New Roman"/>
            <w:szCs w:val="24"/>
            <w:lang w:eastAsia="es-CO"/>
          </w:rPr>
          <w:t>384</w:t>
        </w:r>
      </w:hyperlink>
      <w:r w:rsidRPr="004B15E1">
        <w:rPr>
          <w:rFonts w:eastAsia="Times New Roman" w:cs="Times New Roman"/>
          <w:szCs w:val="24"/>
          <w:lang w:eastAsia="es-CO"/>
        </w:rPr>
        <w:t> del</w:t>
      </w:r>
      <w:r w:rsidR="00655662">
        <w:rPr>
          <w:rFonts w:eastAsia="Times New Roman" w:cs="Times New Roman"/>
          <w:szCs w:val="24"/>
          <w:lang w:eastAsia="es-CO"/>
        </w:rPr>
        <w:t xml:space="preserve"> </w:t>
      </w:r>
      <w:r w:rsidRPr="004B15E1">
        <w:rPr>
          <w:rFonts w:eastAsia="Times New Roman" w:cs="Times New Roman"/>
          <w:szCs w:val="24"/>
          <w:lang w:eastAsia="es-CO"/>
        </w:rPr>
        <w:t>Estatuto Tributario y del Decreto Reglamentario 00099 de 2013, se coligen las siguientes reglas:</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b/>
          <w:bCs/>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1. Retención en la fuente para personas naturales pertenecientes a la categoría de empleados.</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b/>
          <w:bCs/>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A los pagos o abonos en cuenta efectuados a las personas naturales residentes en el país, pertenecientes a la categoría de </w:t>
      </w:r>
      <w:r w:rsidRPr="004B15E1">
        <w:rPr>
          <w:rFonts w:eastAsia="Times New Roman" w:cs="Times New Roman"/>
          <w:b/>
          <w:bCs/>
          <w:szCs w:val="24"/>
          <w:lang w:eastAsia="es-CO"/>
        </w:rPr>
        <w:t>empleados</w:t>
      </w:r>
      <w:r w:rsidRPr="004B15E1">
        <w:rPr>
          <w:rFonts w:eastAsia="Times New Roman" w:cs="Times New Roman"/>
          <w:szCs w:val="24"/>
          <w:lang w:eastAsia="es-CO"/>
        </w:rPr>
        <w:t> les aplica a partir del 1 de enero de 2013, </w:t>
      </w:r>
      <w:r w:rsidRPr="004B15E1">
        <w:rPr>
          <w:rFonts w:eastAsia="Times New Roman" w:cs="Times New Roman"/>
          <w:b/>
          <w:bCs/>
          <w:szCs w:val="24"/>
          <w:lang w:eastAsia="es-CO"/>
        </w:rPr>
        <w:t>la tabla</w:t>
      </w:r>
      <w:r w:rsidRPr="004B15E1">
        <w:rPr>
          <w:rFonts w:eastAsia="Times New Roman" w:cs="Times New Roman"/>
          <w:szCs w:val="24"/>
          <w:lang w:eastAsia="es-CO"/>
        </w:rPr>
        <w:t> </w:t>
      </w:r>
      <w:r w:rsidRPr="004B15E1">
        <w:rPr>
          <w:rFonts w:eastAsia="Times New Roman" w:cs="Times New Roman"/>
          <w:b/>
          <w:bCs/>
          <w:szCs w:val="24"/>
          <w:lang w:val="es-ES" w:eastAsia="es-CO"/>
        </w:rPr>
        <w:t>de retención en la fuente contenida en el </w:t>
      </w:r>
      <w:hyperlink r:id="rId15" w:tooltip="Estatuto Tributario CETA" w:history="1">
        <w:r w:rsidRPr="004B15E1">
          <w:rPr>
            <w:rFonts w:eastAsia="Times New Roman" w:cs="Times New Roman"/>
            <w:b/>
            <w:bCs/>
            <w:szCs w:val="24"/>
            <w:lang w:val="es-ES" w:eastAsia="es-CO"/>
          </w:rPr>
          <w:t>artículo 383</w:t>
        </w:r>
      </w:hyperlink>
      <w:r w:rsidRPr="004B15E1">
        <w:rPr>
          <w:rFonts w:eastAsia="Times New Roman" w:cs="Times New Roman"/>
          <w:b/>
          <w:bCs/>
          <w:szCs w:val="24"/>
          <w:lang w:val="es-ES" w:eastAsia="es-CO"/>
        </w:rPr>
        <w:t> del Estatuto Tributario</w:t>
      </w:r>
      <w:r w:rsidRPr="004B15E1">
        <w:rPr>
          <w:rFonts w:eastAsia="Times New Roman" w:cs="Times New Roman"/>
          <w:szCs w:val="24"/>
          <w:lang w:val="es-ES" w:eastAsia="es-CO"/>
        </w:rPr>
        <w:t> reglamentado por el Decreto 00099 de 2013.</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A partir del 1 de abril de 2013, la retención en la fuente mensual sobre los pagos o abonos en cuenta efectuados a las personas naturales residentes en el país pertenecientes a la categoría de empleados, cuyos ingresos totales en el año gravable inmediatamente anterior, sean iguales o superiores a cuatro mil setenta y tres (4.073) UVT, </w:t>
      </w:r>
      <w:r w:rsidRPr="004B15E1">
        <w:rPr>
          <w:rFonts w:eastAsia="Times New Roman" w:cs="Times New Roman"/>
          <w:b/>
          <w:bCs/>
          <w:szCs w:val="24"/>
          <w:lang w:eastAsia="es-CO"/>
        </w:rPr>
        <w:t xml:space="preserve">en ningún caso puede ser inferior a la que resulte mayor al aplicar la tabla </w:t>
      </w:r>
      <w:proofErr w:type="spellStart"/>
      <w:r w:rsidRPr="004B15E1">
        <w:rPr>
          <w:rFonts w:eastAsia="Times New Roman" w:cs="Times New Roman"/>
          <w:b/>
          <w:bCs/>
          <w:szCs w:val="24"/>
          <w:lang w:eastAsia="es-CO"/>
        </w:rPr>
        <w:t>del</w:t>
      </w:r>
      <w:hyperlink r:id="rId16" w:tooltip="Estatuto Tributario CETA" w:history="1">
        <w:r w:rsidRPr="004B15E1">
          <w:rPr>
            <w:rFonts w:eastAsia="Times New Roman" w:cs="Times New Roman"/>
            <w:b/>
            <w:bCs/>
            <w:szCs w:val="24"/>
            <w:lang w:eastAsia="es-CO"/>
          </w:rPr>
          <w:t>artículo</w:t>
        </w:r>
        <w:proofErr w:type="spellEnd"/>
        <w:r w:rsidRPr="004B15E1">
          <w:rPr>
            <w:rFonts w:eastAsia="Times New Roman" w:cs="Times New Roman"/>
            <w:b/>
            <w:bCs/>
            <w:szCs w:val="24"/>
            <w:lang w:eastAsia="es-CO"/>
          </w:rPr>
          <w:t xml:space="preserve"> 383</w:t>
        </w:r>
      </w:hyperlink>
      <w:r w:rsidRPr="004B15E1">
        <w:rPr>
          <w:rFonts w:eastAsia="Times New Roman" w:cs="Times New Roman"/>
          <w:b/>
          <w:bCs/>
          <w:szCs w:val="24"/>
          <w:lang w:eastAsia="es-CO"/>
        </w:rPr>
        <w:t> y la tabla del </w:t>
      </w:r>
      <w:hyperlink r:id="rId17" w:tooltip="Estatuto Tributario CETA" w:history="1">
        <w:r w:rsidRPr="004B15E1">
          <w:rPr>
            <w:rFonts w:eastAsia="Times New Roman" w:cs="Times New Roman"/>
            <w:b/>
            <w:bCs/>
            <w:szCs w:val="24"/>
            <w:lang w:eastAsia="es-CO"/>
          </w:rPr>
          <w:t>artículo 384</w:t>
        </w:r>
      </w:hyperlink>
      <w:r w:rsidRPr="004B15E1">
        <w:rPr>
          <w:rFonts w:eastAsia="Times New Roman" w:cs="Times New Roman"/>
          <w:b/>
          <w:bCs/>
          <w:szCs w:val="24"/>
          <w:lang w:eastAsia="es-CO"/>
        </w:rPr>
        <w:t> del Estatuto Tributario.</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2. Retención en la fuente para personas naturales no pertenecientes a la categoría de empleados.</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2.1. Pagos provenientes de una relación laboral</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xml:space="preserve">- Los pagos gravables provenientes de una relación laboral o legal y reglamentaria, efectuados a personas naturales residentes en </w:t>
      </w:r>
      <w:proofErr w:type="gramStart"/>
      <w:r w:rsidRPr="004B15E1">
        <w:rPr>
          <w:rFonts w:eastAsia="Times New Roman" w:cs="Times New Roman"/>
          <w:szCs w:val="24"/>
          <w:lang w:eastAsia="es-CO"/>
        </w:rPr>
        <w:t>el país no pertenecientes</w:t>
      </w:r>
      <w:proofErr w:type="gramEnd"/>
      <w:r w:rsidRPr="004B15E1">
        <w:rPr>
          <w:rFonts w:eastAsia="Times New Roman" w:cs="Times New Roman"/>
          <w:szCs w:val="24"/>
          <w:lang w:eastAsia="es-CO"/>
        </w:rPr>
        <w:t xml:space="preserve"> a la categoría de empleados, están sometidos a la tabla de retención en la fuente prevista en el </w:t>
      </w:r>
      <w:hyperlink r:id="rId18" w:tooltip="Estatuto Tributario CETA" w:history="1">
        <w:r w:rsidRPr="004B15E1">
          <w:rPr>
            <w:rFonts w:eastAsia="Times New Roman" w:cs="Times New Roman"/>
            <w:szCs w:val="24"/>
            <w:lang w:eastAsia="es-CO"/>
          </w:rPr>
          <w:t>artículo 383</w:t>
        </w:r>
      </w:hyperlink>
      <w:r w:rsidRPr="004B15E1">
        <w:rPr>
          <w:rFonts w:eastAsia="Times New Roman" w:cs="Times New Roman"/>
          <w:szCs w:val="24"/>
          <w:lang w:eastAsia="es-CO"/>
        </w:rPr>
        <w:t> del Estatuto Tributario.</w:t>
      </w:r>
    </w:p>
    <w:p w:rsidR="00655662" w:rsidRPr="004B15E1" w:rsidRDefault="00655662" w:rsidP="004B15E1">
      <w:pPr>
        <w:spacing w:after="0" w:line="240" w:lineRule="auto"/>
        <w:ind w:left="284"/>
        <w:jc w:val="both"/>
        <w:rPr>
          <w:rFonts w:eastAsia="Times New Roman" w:cs="Times New Roman"/>
          <w:szCs w:val="24"/>
          <w:lang w:eastAsia="es-CO"/>
        </w:rPr>
      </w:pP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Los pagos gravables, por concepto de pensiones de jubilación, invalidez, vejez, de sobrevivientes y sobre riesgos laborales, están sometidos a la tabla de retención en la fuente prevista en el </w:t>
      </w:r>
      <w:hyperlink r:id="rId19" w:tooltip="Estatuto Tributario CETA" w:history="1">
        <w:r w:rsidRPr="004B15E1">
          <w:rPr>
            <w:rFonts w:eastAsia="Times New Roman" w:cs="Times New Roman"/>
            <w:szCs w:val="24"/>
            <w:lang w:eastAsia="es-CO"/>
          </w:rPr>
          <w:t>artículo 383</w:t>
        </w:r>
      </w:hyperlink>
      <w:r w:rsidRPr="004B15E1">
        <w:rPr>
          <w:rFonts w:eastAsia="Times New Roman" w:cs="Times New Roman"/>
          <w:szCs w:val="24"/>
          <w:lang w:eastAsia="es-CO"/>
        </w:rPr>
        <w:t> del Estatuto Tributario en consonancia con lo establecido en el </w:t>
      </w:r>
      <w:hyperlink r:id="rId20" w:tooltip="Estatuto Tributario CETA" w:history="1">
        <w:r w:rsidRPr="004B15E1">
          <w:rPr>
            <w:rFonts w:eastAsia="Times New Roman" w:cs="Times New Roman"/>
            <w:szCs w:val="24"/>
            <w:lang w:eastAsia="es-CO"/>
          </w:rPr>
          <w:t>artículo 206</w:t>
        </w:r>
      </w:hyperlink>
      <w:r w:rsidRPr="004B15E1">
        <w:rPr>
          <w:rFonts w:eastAsia="Times New Roman" w:cs="Times New Roman"/>
          <w:szCs w:val="24"/>
          <w:lang w:eastAsia="es-CO"/>
        </w:rPr>
        <w:t> del mismo ordenamiento.</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2.2. Pagos o abonos en cuenta por concepto de honorarios, comisiones y servicios.</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Los pagos o abonos en cuenta por concepto de honorarios, comisiones y servicios efectuados a personas naturales residentes en el país no pertenecientes a la categoría de empleados, </w:t>
      </w:r>
      <w:r w:rsidRPr="004B15E1">
        <w:rPr>
          <w:rFonts w:eastAsia="Times New Roman" w:cs="Times New Roman"/>
          <w:b/>
          <w:bCs/>
          <w:szCs w:val="24"/>
          <w:lang w:eastAsia="es-CO"/>
        </w:rPr>
        <w:t>están sometidos a las tarifas de retención previstas en el </w:t>
      </w:r>
      <w:hyperlink r:id="rId21" w:tooltip="Estatuto Tributario CETA" w:history="1">
        <w:r w:rsidRPr="004B15E1">
          <w:rPr>
            <w:rFonts w:eastAsia="Times New Roman" w:cs="Times New Roman"/>
            <w:b/>
            <w:bCs/>
            <w:szCs w:val="24"/>
            <w:lang w:eastAsia="es-CO"/>
          </w:rPr>
          <w:t>artículo 392</w:t>
        </w:r>
      </w:hyperlink>
      <w:r w:rsidRPr="004B15E1">
        <w:rPr>
          <w:rFonts w:eastAsia="Times New Roman" w:cs="Times New Roman"/>
          <w:b/>
          <w:bCs/>
          <w:szCs w:val="24"/>
          <w:lang w:eastAsia="es-CO"/>
        </w:rPr>
        <w:t> del Estatuto Tributario en concordancia con el Decreto Reglamentario 260 de 2001.</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xml:space="preserve">Este despacho precisa que a partir del año gravable 2013 la suma correspondiente a cuatro mil setenta y tres (4.073) UVT se modificó y ahora corresponde a mil cuatrocientas (1.400) </w:t>
      </w:r>
      <w:r w:rsidRPr="004B15E1">
        <w:rPr>
          <w:rFonts w:eastAsia="Times New Roman" w:cs="Times New Roman"/>
          <w:szCs w:val="24"/>
          <w:lang w:eastAsia="es-CO"/>
        </w:rPr>
        <w:lastRenderedPageBreak/>
        <w:t>tema que fue materia de análisis en el oficio 019738 del 21 de marzo de 2014, el cual se adjunta al presente escrito por constituir doctrina vigente sobre el tema.</w:t>
      </w:r>
      <w:bookmarkStart w:id="0" w:name="_GoBack"/>
      <w:bookmarkEnd w:id="0"/>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Sobre la posibilidad de deducir en el impuesto de renta aquellos costos y gastos inherentes a la actividad de estas personas, será importante observar a qué categoría tributaria pertenece para luego establecer qué factores de depuración de la renta son admisibles.</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En efecto, el punto 2 del oficio 000885 del 31 de julio de 2014 indicó al responder la pregunta sobre el método de determinación de renta puede o debe utilizar una persona está clasificada en la categoría de empleado:</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b/>
          <w:bCs/>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val="es-ES" w:eastAsia="es-CO"/>
        </w:rPr>
        <w:t>Si la categoría es de EMPLEADO, </w:t>
      </w:r>
      <w:r w:rsidRPr="004B15E1">
        <w:rPr>
          <w:rFonts w:eastAsia="Times New Roman" w:cs="Times New Roman"/>
          <w:b/>
          <w:bCs/>
          <w:szCs w:val="24"/>
          <w:lang w:eastAsia="es-CO"/>
        </w:rPr>
        <w:t>obligatoriamente debe calcular el impuesto de renta y complementario por el sistema IMAN y por el sistema contemplado en el Título I del Libro I del Estatuto Tributario (sistema ordinario y renta presuntiva),</w:t>
      </w:r>
      <w:r w:rsidRPr="004B15E1">
        <w:rPr>
          <w:rFonts w:eastAsia="Times New Roman" w:cs="Times New Roman"/>
          <w:szCs w:val="24"/>
          <w:lang w:eastAsia="es-CO"/>
        </w:rPr>
        <w:t> </w:t>
      </w:r>
      <w:r w:rsidRPr="004B15E1">
        <w:rPr>
          <w:rFonts w:eastAsia="Times New Roman" w:cs="Times New Roman"/>
          <w:szCs w:val="24"/>
          <w:lang w:val="es-ES" w:eastAsia="es-CO"/>
        </w:rPr>
        <w:t>con el fin de poder compararlos.</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Es de recordar que se debe pagar y declarar el impuesto que resulte mayor, después de haber realizado la comparación.</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No obstante, aquellos empleados cuya Renta Gravable Alternativa (RGA) calculada de acuerdo con el </w:t>
      </w:r>
      <w:hyperlink r:id="rId22" w:tooltip="Estatuto Tributario CETA" w:history="1">
        <w:r w:rsidRPr="004B15E1">
          <w:rPr>
            <w:rFonts w:eastAsia="Times New Roman" w:cs="Times New Roman"/>
            <w:szCs w:val="24"/>
            <w:lang w:eastAsia="es-CO"/>
          </w:rPr>
          <w:t>art 332</w:t>
        </w:r>
      </w:hyperlink>
      <w:r w:rsidRPr="004B15E1">
        <w:rPr>
          <w:rFonts w:eastAsia="Times New Roman" w:cs="Times New Roman"/>
          <w:szCs w:val="24"/>
          <w:lang w:eastAsia="es-CO"/>
        </w:rPr>
        <w:t> del ET sea inferior a 4.700 UVT ($126.152.700 para el año 2013), podrán declarar y pagar su impuesto sobre la renta y complementarios bajo el sistema IMAS.</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(Negrilla fuera del texto)</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Igualmente la citada doctrina en el punto 3º concluyó respecto del sistema de determinación de renta que puede o debe utilizar una persona clasificada en la categoría de trabajador por cuenta propia:</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b/>
          <w:bCs/>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Si la categoría es de TRABAJADOR POR CUENTA PROPIA, está obligado a </w:t>
      </w:r>
      <w:r w:rsidRPr="004B15E1">
        <w:rPr>
          <w:rFonts w:eastAsia="Times New Roman" w:cs="Times New Roman"/>
          <w:b/>
          <w:bCs/>
          <w:szCs w:val="24"/>
          <w:lang w:eastAsia="es-CO"/>
        </w:rPr>
        <w:t>calcular el impuesto de renta y complementario por el sistema ordinario y renta presuntiva.</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Sin perjuicio de lo anterior, </w:t>
      </w:r>
      <w:r w:rsidRPr="004B15E1">
        <w:rPr>
          <w:rFonts w:eastAsia="Times New Roman" w:cs="Times New Roman"/>
          <w:b/>
          <w:bCs/>
          <w:szCs w:val="24"/>
          <w:lang w:eastAsia="es-CO"/>
        </w:rPr>
        <w:t>voluntariamente puede utilizar el sistema de determinación del impuesto por el IMAS, siempre y cuando cumpla la TOTALIDAD de las siguientes condiciones:</w:t>
      </w:r>
      <w:r w:rsidRPr="004B15E1">
        <w:rPr>
          <w:rFonts w:eastAsia="Times New Roman" w:cs="Times New Roman"/>
          <w:szCs w:val="24"/>
          <w:lang w:eastAsia="es-CO"/>
        </w:rPr>
        <w:t> a) Esté catalogado como Trabajador por Cuenta Propia, b) Su Renta Gravable Alternativa (RGA) calculada de acuerdo con el </w:t>
      </w:r>
      <w:hyperlink r:id="rId23" w:tooltip="Estatuto Tributario CETA" w:history="1">
        <w:r w:rsidRPr="004B15E1">
          <w:rPr>
            <w:rFonts w:eastAsia="Times New Roman" w:cs="Times New Roman"/>
            <w:szCs w:val="24"/>
            <w:lang w:eastAsia="es-CO"/>
          </w:rPr>
          <w:t>art. 339</w:t>
        </w:r>
      </w:hyperlink>
      <w:r w:rsidRPr="004B15E1">
        <w:rPr>
          <w:rFonts w:eastAsia="Times New Roman" w:cs="Times New Roman"/>
          <w:szCs w:val="24"/>
          <w:lang w:eastAsia="es-CO"/>
        </w:rPr>
        <w:t> del ET sea inferior a 27.000 UVT ($724.707.000 para el año 2013) y c) Su patrimonio líquido gravable del año 2012 sea inferior a 12.000 UVT ($312.588.000).</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(Se resalta)</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En ese orden de ideas, los costos y deducciones que menciona la consultante sólo son admisibles en el sistema ordinario de depuración de la renta, pues tratándose del Impuesto Mínimo Alternativo - IMAN e Impuesto Mínimo Alternativo - IMAS, estos sistemas sólo admiten los conceptos relacionados en el </w:t>
      </w:r>
      <w:hyperlink r:id="rId24" w:tooltip="Estatuto Tributario CETA" w:history="1">
        <w:r w:rsidRPr="004B15E1">
          <w:rPr>
            <w:rFonts w:eastAsia="Times New Roman" w:cs="Times New Roman"/>
            <w:szCs w:val="24"/>
            <w:lang w:eastAsia="es-CO"/>
          </w:rPr>
          <w:t>artículo 332</w:t>
        </w:r>
      </w:hyperlink>
      <w:r w:rsidRPr="004B15E1">
        <w:rPr>
          <w:rFonts w:eastAsia="Times New Roman" w:cs="Times New Roman"/>
          <w:szCs w:val="24"/>
          <w:lang w:eastAsia="es-CO"/>
        </w:rPr>
        <w:t xml:space="preserve"> del Estatuto. Tributario, tal como se ha </w:t>
      </w:r>
      <w:r w:rsidRPr="004B15E1">
        <w:rPr>
          <w:rFonts w:eastAsia="Times New Roman" w:cs="Times New Roman"/>
          <w:szCs w:val="24"/>
          <w:lang w:eastAsia="es-CO"/>
        </w:rPr>
        <w:lastRenderedPageBreak/>
        <w:t>concluido mediante oficio 001113 del 13 de enero de 2014, del cual remitimos copia para su conocimiento por constituir doctrina vigente sobre el tema.</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655662" w:rsidRDefault="004B15E1" w:rsidP="004B15E1">
      <w:pPr>
        <w:spacing w:after="0" w:line="240" w:lineRule="auto"/>
        <w:jc w:val="both"/>
        <w:rPr>
          <w:rFonts w:eastAsia="Times New Roman" w:cs="Times New Roman"/>
          <w:b/>
          <w:szCs w:val="24"/>
          <w:lang w:eastAsia="es-CO"/>
        </w:rPr>
      </w:pPr>
      <w:r w:rsidRPr="00655662">
        <w:rPr>
          <w:rFonts w:eastAsia="Times New Roman" w:cs="Times New Roman"/>
          <w:b/>
          <w:szCs w:val="24"/>
          <w:lang w:eastAsia="es-CO"/>
        </w:rPr>
        <w:t>Sobre el tema el oficio 885 de 2014 al resolver la pregunta 9 señala:</w:t>
      </w:r>
    </w:p>
    <w:p w:rsidR="004B15E1" w:rsidRPr="00655662" w:rsidRDefault="004B15E1" w:rsidP="004B15E1">
      <w:pPr>
        <w:spacing w:after="0" w:line="240" w:lineRule="auto"/>
        <w:ind w:left="284"/>
        <w:jc w:val="both"/>
        <w:rPr>
          <w:rFonts w:eastAsia="Times New Roman" w:cs="Times New Roman"/>
          <w:b/>
          <w:szCs w:val="24"/>
          <w:lang w:eastAsia="es-CO"/>
        </w:rPr>
      </w:pPr>
      <w:r w:rsidRPr="00655662">
        <w:rPr>
          <w:rFonts w:eastAsia="Times New Roman" w:cs="Times New Roman"/>
          <w:b/>
          <w:bCs/>
          <w:szCs w:val="24"/>
          <w:lang w:eastAsia="es-CO"/>
        </w:rPr>
        <w:t> </w:t>
      </w:r>
    </w:p>
    <w:p w:rsidR="004B15E1" w:rsidRPr="00655662" w:rsidRDefault="004B15E1" w:rsidP="004B15E1">
      <w:pPr>
        <w:spacing w:after="0" w:line="240" w:lineRule="auto"/>
        <w:ind w:left="284"/>
        <w:jc w:val="both"/>
        <w:rPr>
          <w:rFonts w:eastAsia="Times New Roman" w:cs="Times New Roman"/>
          <w:b/>
          <w:szCs w:val="24"/>
          <w:lang w:eastAsia="es-CO"/>
        </w:rPr>
      </w:pPr>
      <w:r w:rsidRPr="00655662">
        <w:rPr>
          <w:rFonts w:eastAsia="Times New Roman" w:cs="Times New Roman"/>
          <w:b/>
          <w:szCs w:val="24"/>
          <w:lang w:eastAsia="es-CO"/>
        </w:rPr>
        <w:t>9. Costos y gastos en la determinación del impuesto de renta e impuestos descontables</w:t>
      </w:r>
    </w:p>
    <w:p w:rsidR="004B15E1" w:rsidRPr="00655662" w:rsidRDefault="004B15E1" w:rsidP="004B15E1">
      <w:pPr>
        <w:spacing w:after="0" w:line="240" w:lineRule="auto"/>
        <w:ind w:left="284"/>
        <w:jc w:val="both"/>
        <w:rPr>
          <w:rFonts w:eastAsia="Times New Roman" w:cs="Times New Roman"/>
          <w:b/>
          <w:szCs w:val="24"/>
          <w:lang w:eastAsia="es-CO"/>
        </w:rPr>
      </w:pPr>
      <w:r w:rsidRPr="00655662">
        <w:rPr>
          <w:rFonts w:eastAsia="Times New Roman" w:cs="Times New Roman"/>
          <w:b/>
          <w:szCs w:val="24"/>
          <w:lang w:eastAsia="es-CO"/>
        </w:rPr>
        <w:t> </w:t>
      </w:r>
    </w:p>
    <w:p w:rsidR="004B15E1" w:rsidRPr="00655662" w:rsidRDefault="004B15E1" w:rsidP="004B15E1">
      <w:pPr>
        <w:spacing w:after="0" w:line="240" w:lineRule="auto"/>
        <w:ind w:left="284"/>
        <w:jc w:val="both"/>
        <w:rPr>
          <w:rFonts w:eastAsia="Times New Roman" w:cs="Times New Roman"/>
          <w:b/>
          <w:szCs w:val="24"/>
          <w:lang w:eastAsia="es-CO"/>
        </w:rPr>
      </w:pPr>
      <w:r w:rsidRPr="00655662">
        <w:rPr>
          <w:rFonts w:eastAsia="Times New Roman" w:cs="Times New Roman"/>
          <w:b/>
          <w:szCs w:val="24"/>
          <w:lang w:eastAsia="es-CO"/>
        </w:rPr>
        <w:t>En la determinación del impuesto de renta para las personas naturales clasificadas en la categoría tributaria de empleados, los costos y gastos relacionados con la actividad productora de renta </w:t>
      </w:r>
      <w:r w:rsidRPr="00655662">
        <w:rPr>
          <w:rFonts w:eastAsia="Times New Roman" w:cs="Times New Roman"/>
          <w:b/>
          <w:szCs w:val="24"/>
          <w:u w:val="single"/>
          <w:lang w:eastAsia="es-CO"/>
        </w:rPr>
        <w:t>sólo podrán detraerse en la depuración de la base gravable mediante el sistema ordinario siempre y cuando cumplan con la totalidad de las condiciones para su aceptación contenidas en el </w:t>
      </w:r>
      <w:hyperlink r:id="rId25" w:tooltip="Estatuto Tributario CETA" w:history="1">
        <w:r w:rsidRPr="00655662">
          <w:rPr>
            <w:rFonts w:eastAsia="Times New Roman" w:cs="Times New Roman"/>
            <w:b/>
            <w:szCs w:val="24"/>
            <w:lang w:eastAsia="es-CO"/>
          </w:rPr>
          <w:t>artículo 107</w:t>
        </w:r>
      </w:hyperlink>
      <w:r w:rsidRPr="00655662">
        <w:rPr>
          <w:rFonts w:eastAsia="Times New Roman" w:cs="Times New Roman"/>
          <w:b/>
          <w:szCs w:val="24"/>
          <w:u w:val="single"/>
          <w:lang w:eastAsia="es-CO"/>
        </w:rPr>
        <w:t> del Estatuto Tributario y demás normas concordantes y complementarias</w:t>
      </w:r>
      <w:r w:rsidRPr="00655662">
        <w:rPr>
          <w:rFonts w:eastAsia="Times New Roman" w:cs="Times New Roman"/>
          <w:b/>
          <w:szCs w:val="24"/>
          <w:lang w:eastAsia="es-CO"/>
        </w:rPr>
        <w:t>.</w:t>
      </w:r>
    </w:p>
    <w:p w:rsidR="004B15E1" w:rsidRPr="00655662" w:rsidRDefault="004B15E1" w:rsidP="004B15E1">
      <w:pPr>
        <w:spacing w:after="0" w:line="240" w:lineRule="auto"/>
        <w:ind w:left="284"/>
        <w:jc w:val="both"/>
        <w:rPr>
          <w:rFonts w:eastAsia="Times New Roman" w:cs="Times New Roman"/>
          <w:b/>
          <w:szCs w:val="24"/>
          <w:lang w:eastAsia="es-CO"/>
        </w:rPr>
      </w:pPr>
      <w:r w:rsidRPr="00655662">
        <w:rPr>
          <w:rFonts w:eastAsia="Times New Roman" w:cs="Times New Roman"/>
          <w:b/>
          <w:szCs w:val="24"/>
          <w:lang w:eastAsia="es-CO"/>
        </w:rPr>
        <w:t> </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La anterior conclusión tiene como fundamento jurídico el </w:t>
      </w:r>
      <w:hyperlink r:id="rId26" w:tooltip="Estatuto Tributario CETA" w:history="1">
        <w:r w:rsidRPr="004B15E1">
          <w:rPr>
            <w:rFonts w:eastAsia="Times New Roman" w:cs="Times New Roman"/>
            <w:szCs w:val="24"/>
            <w:lang w:eastAsia="es-CO"/>
          </w:rPr>
          <w:t>artículo 331</w:t>
        </w:r>
      </w:hyperlink>
      <w:r w:rsidRPr="004B15E1">
        <w:rPr>
          <w:rFonts w:eastAsia="Times New Roman" w:cs="Times New Roman"/>
          <w:szCs w:val="24"/>
          <w:lang w:eastAsia="es-CO"/>
        </w:rPr>
        <w:t> del Estatuto Tributario, que al consagrar el Impuesto Mínimo Alternativo Nacional -IMAN- para las personas naturales clasificadas en la categoría de Empleados, indica que se trata de un sistema presuntivo y obligatorio de determinación de la base gravable y alícuota del impuesto sobre la renta y complementarios, </w:t>
      </w:r>
      <w:r w:rsidRPr="004B15E1">
        <w:rPr>
          <w:rFonts w:eastAsia="Times New Roman" w:cs="Times New Roman"/>
          <w:b/>
          <w:bCs/>
          <w:szCs w:val="24"/>
          <w:lang w:eastAsia="es-CO"/>
        </w:rPr>
        <w:t>el cual no admite para su cálculo depuraciones, deducciones ni aminoraciones estructurales, salvo las previstas en el </w:t>
      </w:r>
      <w:hyperlink r:id="rId27" w:tooltip="Estatuto Tributario CETA" w:history="1">
        <w:r w:rsidRPr="004B15E1">
          <w:rPr>
            <w:rFonts w:eastAsia="Times New Roman" w:cs="Times New Roman"/>
            <w:b/>
            <w:bCs/>
            <w:szCs w:val="24"/>
            <w:lang w:eastAsia="es-CO"/>
          </w:rPr>
          <w:t>artículo 332</w:t>
        </w:r>
      </w:hyperlink>
      <w:r w:rsidRPr="004B15E1">
        <w:rPr>
          <w:rFonts w:eastAsia="Times New Roman" w:cs="Times New Roman"/>
          <w:b/>
          <w:bCs/>
          <w:szCs w:val="24"/>
          <w:lang w:eastAsia="es-CO"/>
        </w:rPr>
        <w:t> ibídem.</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(Subrayado fuera del texto)</w:t>
      </w:r>
    </w:p>
    <w:p w:rsidR="004B15E1" w:rsidRPr="004B15E1" w:rsidRDefault="004B15E1" w:rsidP="004B15E1">
      <w:pPr>
        <w:spacing w:after="0" w:line="240" w:lineRule="auto"/>
        <w:ind w:left="284"/>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En los anteriores términos se resuelve su consulta.</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Atentamente,</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 </w:t>
      </w:r>
    </w:p>
    <w:p w:rsidR="004B15E1" w:rsidRP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b/>
          <w:bCs/>
          <w:szCs w:val="24"/>
          <w:lang w:eastAsia="es-CO"/>
        </w:rPr>
        <w:t>YUMER YOEL AGUILAR VARGAS</w:t>
      </w:r>
    </w:p>
    <w:p w:rsidR="004B15E1" w:rsidRDefault="004B15E1" w:rsidP="004B15E1">
      <w:pPr>
        <w:spacing w:after="0" w:line="240" w:lineRule="auto"/>
        <w:jc w:val="both"/>
        <w:rPr>
          <w:rFonts w:eastAsia="Times New Roman" w:cs="Times New Roman"/>
          <w:szCs w:val="24"/>
          <w:lang w:eastAsia="es-CO"/>
        </w:rPr>
      </w:pPr>
      <w:r w:rsidRPr="004B15E1">
        <w:rPr>
          <w:rFonts w:eastAsia="Times New Roman" w:cs="Times New Roman"/>
          <w:szCs w:val="24"/>
          <w:lang w:eastAsia="es-CO"/>
        </w:rPr>
        <w:t>Subdirector de Gestión Normativa y Doctrina</w:t>
      </w:r>
    </w:p>
    <w:p w:rsidR="00655662" w:rsidRPr="004B15E1" w:rsidRDefault="00655662" w:rsidP="004B15E1">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4B15E1" w:rsidRPr="004B15E1" w:rsidRDefault="004B15E1" w:rsidP="004B15E1">
      <w:pPr>
        <w:spacing w:after="285" w:line="240" w:lineRule="auto"/>
        <w:jc w:val="both"/>
        <w:rPr>
          <w:rFonts w:eastAsia="Times New Roman" w:cs="Times New Roman"/>
          <w:szCs w:val="24"/>
          <w:lang w:eastAsia="es-CO"/>
        </w:rPr>
      </w:pPr>
      <w:r w:rsidRPr="004B15E1">
        <w:rPr>
          <w:rFonts w:eastAsia="Times New Roman" w:cs="Times New Roman"/>
          <w:szCs w:val="24"/>
          <w:lang w:eastAsia="es-CO"/>
        </w:rPr>
        <w:t> </w:t>
      </w:r>
    </w:p>
    <w:p w:rsidR="00961BFA" w:rsidRPr="004B15E1" w:rsidRDefault="00961BFA" w:rsidP="004B15E1">
      <w:pPr>
        <w:jc w:val="both"/>
        <w:rPr>
          <w:rFonts w:cs="Times New Roman"/>
          <w:szCs w:val="24"/>
        </w:rPr>
      </w:pPr>
    </w:p>
    <w:sectPr w:rsidR="00961BFA" w:rsidRPr="004B15E1" w:rsidSect="00BA35A2">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E1"/>
    <w:rsid w:val="0029351E"/>
    <w:rsid w:val="004B15E1"/>
    <w:rsid w:val="00655662"/>
    <w:rsid w:val="00961BFA"/>
    <w:rsid w:val="00B94BED"/>
    <w:rsid w:val="00BA35A2"/>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91547-C971-4090-97B4-C0D682B4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08" TargetMode="External"/><Relationship Id="rId13" Type="http://schemas.openxmlformats.org/officeDocument/2006/relationships/hyperlink" Target="http://www.ceta.org.co/html/vista_de_un_articulo.asp?Norma=476" TargetMode="External"/><Relationship Id="rId18" Type="http://schemas.openxmlformats.org/officeDocument/2006/relationships/hyperlink" Target="http://www.ceta.org.co/html/vista_de_un_articulo.asp?Norma=476" TargetMode="External"/><Relationship Id="rId26" Type="http://schemas.openxmlformats.org/officeDocument/2006/relationships/hyperlink" Target="http://www.ceta.org.co/html/vista_de_un_articulo.asp?Norma=410" TargetMode="External"/><Relationship Id="rId3" Type="http://schemas.openxmlformats.org/officeDocument/2006/relationships/webSettings" Target="webSettings.xml"/><Relationship Id="rId21" Type="http://schemas.openxmlformats.org/officeDocument/2006/relationships/hyperlink" Target="http://www.ceta.org.co/html/vista_de_un_articulo.asp?Norma=486" TargetMode="External"/><Relationship Id="rId7" Type="http://schemas.openxmlformats.org/officeDocument/2006/relationships/hyperlink" Target="http://www.ceta.org.co/html/vista_de_un_articulo.asp?Norma=408" TargetMode="External"/><Relationship Id="rId12" Type="http://schemas.openxmlformats.org/officeDocument/2006/relationships/hyperlink" Target="http://www.ceta.org.co/html/vista_de_un_articulo.asp?Norma=419" TargetMode="External"/><Relationship Id="rId17" Type="http://schemas.openxmlformats.org/officeDocument/2006/relationships/hyperlink" Target="http://www.ceta.org.co/html/vista_de_un_articulo.asp?Norma=477" TargetMode="External"/><Relationship Id="rId25" Type="http://schemas.openxmlformats.org/officeDocument/2006/relationships/hyperlink" Target="http://www.ceta.org.co/html/vista_de_un_articulo.asp?Norma=155" TargetMode="External"/><Relationship Id="rId2" Type="http://schemas.openxmlformats.org/officeDocument/2006/relationships/settings" Target="settings.xml"/><Relationship Id="rId16" Type="http://schemas.openxmlformats.org/officeDocument/2006/relationships/hyperlink" Target="http://www.ceta.org.co/html/vista_de_un_articulo.asp?Norma=476" TargetMode="External"/><Relationship Id="rId20" Type="http://schemas.openxmlformats.org/officeDocument/2006/relationships/hyperlink" Target="http://www.ceta.org.co/html/vista_de_un_articulo.asp?Norma=27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419" TargetMode="External"/><Relationship Id="rId11" Type="http://schemas.openxmlformats.org/officeDocument/2006/relationships/hyperlink" Target="http://www.ceta.org.co/html/vista_de_un_articulo.asp?Norma=418" TargetMode="External"/><Relationship Id="rId24" Type="http://schemas.openxmlformats.org/officeDocument/2006/relationships/hyperlink" Target="http://www.ceta.org.co/html/vista_de_un_articulo.asp?Norma=411" TargetMode="External"/><Relationship Id="rId5" Type="http://schemas.openxmlformats.org/officeDocument/2006/relationships/hyperlink" Target="http://www.ceta.org.co/html/vista_de_un_articulo.asp?Norma=418" TargetMode="External"/><Relationship Id="rId15" Type="http://schemas.openxmlformats.org/officeDocument/2006/relationships/hyperlink" Target="http://www.ceta.org.co/html/vista_de_un_articulo.asp?Norma=476" TargetMode="External"/><Relationship Id="rId23" Type="http://schemas.openxmlformats.org/officeDocument/2006/relationships/hyperlink" Target="http://www.ceta.org.co/html/vista_de_un_articulo.asp?Norma=418" TargetMode="External"/><Relationship Id="rId28" Type="http://schemas.openxmlformats.org/officeDocument/2006/relationships/fontTable" Target="fontTable.xml"/><Relationship Id="rId10" Type="http://schemas.openxmlformats.org/officeDocument/2006/relationships/hyperlink" Target="http://www.ceta.org.co/html/vista_de_un_articulo.asp?Norma=419" TargetMode="External"/><Relationship Id="rId19" Type="http://schemas.openxmlformats.org/officeDocument/2006/relationships/hyperlink" Target="http://www.ceta.org.co/html/vista_de_un_articulo.asp?Norma=476" TargetMode="External"/><Relationship Id="rId4" Type="http://schemas.openxmlformats.org/officeDocument/2006/relationships/hyperlink" Target="http://www.ceta.org.co/html/vista_de_un_articulo.asp?Norma=408" TargetMode="External"/><Relationship Id="rId9" Type="http://schemas.openxmlformats.org/officeDocument/2006/relationships/hyperlink" Target="http://www.ceta.org.co/html/vista_de_un_articulo.asp?Norma=408" TargetMode="External"/><Relationship Id="rId14" Type="http://schemas.openxmlformats.org/officeDocument/2006/relationships/hyperlink" Target="http://www.ceta.org.co/html/vista_de_un_articulo.asp?Norma=477" TargetMode="External"/><Relationship Id="rId22" Type="http://schemas.openxmlformats.org/officeDocument/2006/relationships/hyperlink" Target="http://www.ceta.org.co/html/vista_de_un_articulo.asp?Norma=411" TargetMode="External"/><Relationship Id="rId27" Type="http://schemas.openxmlformats.org/officeDocument/2006/relationships/hyperlink" Target="http://www.ceta.org.co/html/vista_de_un_articulo.asp?Norma=4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2375</Words>
  <Characters>13066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2015-02-28T03:07:00Z</dcterms:created>
  <dcterms:modified xsi:type="dcterms:W3CDTF">2015-03-23T17:08:00Z</dcterms:modified>
</cp:coreProperties>
</file>